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F35D" w14:textId="3C7D17EE" w:rsidR="00635C9D" w:rsidRPr="00635C9D" w:rsidRDefault="00635C9D" w:rsidP="00635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 w:rsidRPr="00635C9D">
        <w:rPr>
          <w:rFonts w:ascii="Arial" w:hAnsi="Arial" w:cs="Arial"/>
          <w:b/>
          <w:bCs/>
          <w:color w:val="000000"/>
          <w:kern w:val="0"/>
        </w:rPr>
        <w:t>Frequently Asked Questions</w:t>
      </w:r>
    </w:p>
    <w:p w14:paraId="74CC3B76" w14:textId="77777777" w:rsidR="00635C9D" w:rsidRPr="00635C9D" w:rsidRDefault="00635C9D" w:rsidP="0063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67BE4CEE" w14:textId="53745DCC" w:rsidR="00635C9D" w:rsidRPr="00635C9D" w:rsidRDefault="00635C9D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kern w:val="0"/>
        </w:rPr>
      </w:pPr>
      <w:r w:rsidRPr="00635C9D">
        <w:rPr>
          <w:rFonts w:ascii="Arial" w:hAnsi="Arial" w:cs="Arial"/>
          <w:color w:val="FFFFFF"/>
          <w:kern w:val="0"/>
        </w:rPr>
        <w:t>Property Rateable value</w:t>
      </w:r>
    </w:p>
    <w:p w14:paraId="50DA11D4" w14:textId="77777777" w:rsidR="00635C9D" w:rsidRPr="00635C9D" w:rsidRDefault="00635C9D" w:rsidP="0063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kern w:val="0"/>
        </w:rPr>
      </w:pPr>
    </w:p>
    <w:p w14:paraId="5998EF9C" w14:textId="621FDDFE" w:rsid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What would the running costs be?</w:t>
      </w:r>
    </w:p>
    <w:p w14:paraId="7F4033CA" w14:textId="77777777" w:rsidR="00381C5A" w:rsidRPr="00381C5A" w:rsidRDefault="00381C5A" w:rsidP="00381C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67D5C8EC" w14:textId="3EE45B8C" w:rsidR="00635C9D" w:rsidRPr="00635C9D" w:rsidRDefault="6237B675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33B7FFC">
        <w:rPr>
          <w:rFonts w:ascii="Arial" w:hAnsi="Arial" w:cs="Arial"/>
          <w:b/>
          <w:bCs/>
          <w:color w:val="000000"/>
          <w:kern w:val="0"/>
        </w:rPr>
        <w:t xml:space="preserve">Business Rates and </w:t>
      </w:r>
      <w:r w:rsidR="16C76F97" w:rsidRPr="033B7FFC">
        <w:rPr>
          <w:rFonts w:ascii="Arial" w:hAnsi="Arial" w:cs="Arial"/>
          <w:b/>
          <w:bCs/>
          <w:color w:val="000000"/>
          <w:kern w:val="0"/>
        </w:rPr>
        <w:t>Running Costs</w:t>
      </w:r>
    </w:p>
    <w:p w14:paraId="6A68BEE9" w14:textId="1E5A424D" w:rsidR="00635C9D" w:rsidRPr="00635C9D" w:rsidRDefault="00635C9D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615C86D" w14:textId="1D0C1DF7" w:rsidR="00635C9D" w:rsidRPr="00635C9D" w:rsidRDefault="6D625ED3" w:rsidP="033B7FFC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33B7FFC">
        <w:rPr>
          <w:rFonts w:ascii="Arial" w:eastAsia="Arial" w:hAnsi="Arial" w:cs="Arial"/>
          <w:color w:val="000000" w:themeColor="text1"/>
        </w:rPr>
        <w:t>EHDC r</w:t>
      </w:r>
      <w:r w:rsidR="3774FCFE" w:rsidRPr="033B7FFC">
        <w:rPr>
          <w:rFonts w:ascii="Arial" w:eastAsia="Arial" w:hAnsi="Arial" w:cs="Arial"/>
          <w:color w:val="000000" w:themeColor="text1"/>
        </w:rPr>
        <w:t>unning costs for the building are as follows:</w:t>
      </w:r>
    </w:p>
    <w:p w14:paraId="76D82CB2" w14:textId="41E5A81F" w:rsidR="00635C9D" w:rsidRPr="00635C9D" w:rsidRDefault="3774FCFE" w:rsidP="033B7FFC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33B7FFC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033B7FFC" w14:paraId="7042BCD8" w14:textId="77777777" w:rsidTr="033B7FFC">
        <w:trPr>
          <w:trHeight w:val="300"/>
        </w:trPr>
        <w:tc>
          <w:tcPr>
            <w:tcW w:w="1502" w:type="dxa"/>
          </w:tcPr>
          <w:p w14:paraId="0CAE6917" w14:textId="69925FFC" w:rsidR="083BC113" w:rsidRDefault="083BC113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</w:tc>
        <w:tc>
          <w:tcPr>
            <w:tcW w:w="1502" w:type="dxa"/>
          </w:tcPr>
          <w:p w14:paraId="44D70915" w14:textId="555228EF" w:rsidR="14F2C35F" w:rsidRDefault="14F2C35F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FY </w:t>
            </w:r>
            <w:r w:rsidR="22B39ECF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19/20</w:t>
            </w:r>
          </w:p>
        </w:tc>
        <w:tc>
          <w:tcPr>
            <w:tcW w:w="1502" w:type="dxa"/>
          </w:tcPr>
          <w:p w14:paraId="39A3D23D" w14:textId="2FE14ED3" w:rsidR="4D8F8E9C" w:rsidRDefault="4D8F8E9C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FY </w:t>
            </w:r>
            <w:r w:rsidR="22B39ECF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20/21</w:t>
            </w:r>
          </w:p>
        </w:tc>
        <w:tc>
          <w:tcPr>
            <w:tcW w:w="1502" w:type="dxa"/>
          </w:tcPr>
          <w:p w14:paraId="09268323" w14:textId="56814A0B" w:rsidR="3F114C38" w:rsidRDefault="3F114C38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FY </w:t>
            </w:r>
            <w:r w:rsidR="22B39ECF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21/22</w:t>
            </w:r>
          </w:p>
        </w:tc>
        <w:tc>
          <w:tcPr>
            <w:tcW w:w="1502" w:type="dxa"/>
          </w:tcPr>
          <w:p w14:paraId="43B8AC58" w14:textId="57F37FCA" w:rsidR="6DE59EEB" w:rsidRDefault="6DE59EEB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FY </w:t>
            </w:r>
            <w:r w:rsidR="22B39ECF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22/23</w:t>
            </w:r>
          </w:p>
        </w:tc>
        <w:tc>
          <w:tcPr>
            <w:tcW w:w="1502" w:type="dxa"/>
          </w:tcPr>
          <w:p w14:paraId="03122426" w14:textId="0C3779DD" w:rsidR="718AE3B4" w:rsidRDefault="718AE3B4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FY </w:t>
            </w:r>
            <w:r w:rsidR="22B39ECF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23/24</w:t>
            </w:r>
          </w:p>
          <w:p w14:paraId="624E6351" w14:textId="3F081C47" w:rsidR="033B7FFC" w:rsidRDefault="033B7FFC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33B7FFC" w14:paraId="49210CEE" w14:textId="77777777" w:rsidTr="033B7FFC">
        <w:trPr>
          <w:trHeight w:val="300"/>
        </w:trPr>
        <w:tc>
          <w:tcPr>
            <w:tcW w:w="1502" w:type="dxa"/>
          </w:tcPr>
          <w:p w14:paraId="1FF311C4" w14:textId="079CE148" w:rsidR="22B39ECF" w:rsidRDefault="22B39ECF" w:rsidP="033B7FFC">
            <w:pPr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 xml:space="preserve">Running Costs </w:t>
            </w:r>
          </w:p>
        </w:tc>
        <w:tc>
          <w:tcPr>
            <w:tcW w:w="1502" w:type="dxa"/>
          </w:tcPr>
          <w:p w14:paraId="42080CA7" w14:textId="2C0D058A" w:rsidR="723DA9DB" w:rsidRDefault="723DA9DB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</w:t>
            </w:r>
            <w:r w:rsidR="033B7FFC" w:rsidRPr="033B7FFC">
              <w:rPr>
                <w:rFonts w:ascii="Arial" w:eastAsia="Arial" w:hAnsi="Arial" w:cs="Arial"/>
                <w:color w:val="000000" w:themeColor="text1"/>
              </w:rPr>
              <w:t>26,35</w:t>
            </w:r>
            <w:r w:rsidR="22B39ECF" w:rsidRPr="033B7FFC"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1502" w:type="dxa"/>
          </w:tcPr>
          <w:p w14:paraId="1C4C7FC1" w14:textId="51B4CB64" w:rsidR="6CEC65CB" w:rsidRDefault="6CEC65CB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£15,555</w:t>
            </w:r>
          </w:p>
        </w:tc>
        <w:tc>
          <w:tcPr>
            <w:tcW w:w="1502" w:type="dxa"/>
          </w:tcPr>
          <w:p w14:paraId="4D27ED9E" w14:textId="604783DD" w:rsidR="6CEC65CB" w:rsidRDefault="6CEC65CB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£2,559</w:t>
            </w:r>
          </w:p>
        </w:tc>
        <w:tc>
          <w:tcPr>
            <w:tcW w:w="1502" w:type="dxa"/>
          </w:tcPr>
          <w:p w14:paraId="1B73C894" w14:textId="05623F05" w:rsidR="6CEC65CB" w:rsidRDefault="6CEC65CB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£10,757</w:t>
            </w:r>
          </w:p>
        </w:tc>
        <w:tc>
          <w:tcPr>
            <w:tcW w:w="1502" w:type="dxa"/>
          </w:tcPr>
          <w:p w14:paraId="3DBFB3D8" w14:textId="4C23501B" w:rsidR="6CEC65CB" w:rsidRDefault="6CEC65CB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£5,295</w:t>
            </w:r>
          </w:p>
        </w:tc>
      </w:tr>
      <w:tr w:rsidR="033B7FFC" w14:paraId="18B64944" w14:textId="77777777" w:rsidTr="033B7FFC">
        <w:trPr>
          <w:trHeight w:val="300"/>
        </w:trPr>
        <w:tc>
          <w:tcPr>
            <w:tcW w:w="1502" w:type="dxa"/>
          </w:tcPr>
          <w:p w14:paraId="7C6FBAC9" w14:textId="2CE336D1" w:rsidR="22B39ECF" w:rsidRDefault="22B39ECF" w:rsidP="033B7FFC">
            <w:pPr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Business Rates</w:t>
            </w:r>
          </w:p>
        </w:tc>
        <w:tc>
          <w:tcPr>
            <w:tcW w:w="1502" w:type="dxa"/>
          </w:tcPr>
          <w:p w14:paraId="149B47AE" w14:textId="27A8A82A" w:rsidR="033B7FFC" w:rsidRDefault="033B7FFC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£21,481</w:t>
            </w:r>
          </w:p>
        </w:tc>
        <w:tc>
          <w:tcPr>
            <w:tcW w:w="1502" w:type="dxa"/>
          </w:tcPr>
          <w:p w14:paraId="28A7D006" w14:textId="3E719C3A" w:rsidR="7D38EF92" w:rsidRDefault="7D38EF92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£16,497</w:t>
            </w:r>
          </w:p>
        </w:tc>
        <w:tc>
          <w:tcPr>
            <w:tcW w:w="1502" w:type="dxa"/>
          </w:tcPr>
          <w:p w14:paraId="2E06A023" w14:textId="244DC958" w:rsidR="033B7FFC" w:rsidRDefault="033B7FFC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02" w:type="dxa"/>
          </w:tcPr>
          <w:p w14:paraId="08AD811D" w14:textId="6A7C7884" w:rsidR="7D38EF92" w:rsidRDefault="7D38EF92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color w:val="000000" w:themeColor="text1"/>
              </w:rPr>
              <w:t>£22,400</w:t>
            </w:r>
          </w:p>
        </w:tc>
        <w:tc>
          <w:tcPr>
            <w:tcW w:w="1502" w:type="dxa"/>
          </w:tcPr>
          <w:p w14:paraId="60887E8C" w14:textId="2240F1B1" w:rsidR="033B7FFC" w:rsidRDefault="033B7FFC" w:rsidP="033B7FF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33B7FFC" w14:paraId="1B7AAD96" w14:textId="77777777" w:rsidTr="033B7FFC">
        <w:trPr>
          <w:trHeight w:val="300"/>
        </w:trPr>
        <w:tc>
          <w:tcPr>
            <w:tcW w:w="1502" w:type="dxa"/>
          </w:tcPr>
          <w:p w14:paraId="5F3BF916" w14:textId="6599ACE6" w:rsidR="2E1BCB89" w:rsidRDefault="2E1BCB89" w:rsidP="033B7F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1502" w:type="dxa"/>
          </w:tcPr>
          <w:p w14:paraId="150E8601" w14:textId="09496E6B" w:rsidR="033B7FFC" w:rsidRDefault="033B7FFC" w:rsidP="033B7F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£47,838</w:t>
            </w:r>
          </w:p>
        </w:tc>
        <w:tc>
          <w:tcPr>
            <w:tcW w:w="1502" w:type="dxa"/>
          </w:tcPr>
          <w:p w14:paraId="0559C921" w14:textId="555D0B8E" w:rsidR="033B7FFC" w:rsidRDefault="033B7FFC" w:rsidP="033B7F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£32,051</w:t>
            </w:r>
          </w:p>
        </w:tc>
        <w:tc>
          <w:tcPr>
            <w:tcW w:w="1502" w:type="dxa"/>
          </w:tcPr>
          <w:p w14:paraId="0FC324F4" w14:textId="3FEB919B" w:rsidR="033B7FFC" w:rsidRDefault="033B7FFC" w:rsidP="033B7F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£2,559</w:t>
            </w:r>
          </w:p>
        </w:tc>
        <w:tc>
          <w:tcPr>
            <w:tcW w:w="1502" w:type="dxa"/>
          </w:tcPr>
          <w:p w14:paraId="3D31FE7E" w14:textId="7CE6A747" w:rsidR="033B7FFC" w:rsidRDefault="033B7FFC" w:rsidP="033B7F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£33,157</w:t>
            </w:r>
          </w:p>
        </w:tc>
        <w:tc>
          <w:tcPr>
            <w:tcW w:w="1502" w:type="dxa"/>
          </w:tcPr>
          <w:p w14:paraId="3BB74941" w14:textId="2996AA39" w:rsidR="033B7FFC" w:rsidRDefault="033B7FFC" w:rsidP="033B7FF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£5,295</w:t>
            </w:r>
            <w:r w:rsidR="113BDEB1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(costs </w:t>
            </w:r>
            <w:proofErr w:type="gramStart"/>
            <w:r w:rsidR="2B729F75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>expended</w:t>
            </w:r>
            <w:proofErr w:type="gramEnd"/>
            <w:r w:rsidR="2B729F75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113BDEB1" w:rsidRPr="033B7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 date) </w:t>
            </w:r>
          </w:p>
        </w:tc>
      </w:tr>
    </w:tbl>
    <w:p w14:paraId="28561AA4" w14:textId="1349DB09" w:rsidR="00635C9D" w:rsidRPr="00635C9D" w:rsidRDefault="00635C9D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891C91B" w14:textId="5ED036FD" w:rsidR="00635C9D" w:rsidRPr="00635C9D" w:rsidRDefault="00635C9D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63626FA" w14:textId="75E18200" w:rsidR="00635C9D" w:rsidRPr="00635C9D" w:rsidRDefault="5CED106D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33B7FFC">
        <w:rPr>
          <w:rFonts w:ascii="Arial" w:hAnsi="Arial" w:cs="Arial"/>
          <w:color w:val="000000" w:themeColor="text1"/>
        </w:rPr>
        <w:t>T</w:t>
      </w:r>
      <w:r w:rsidR="5E580961" w:rsidRPr="033B7FFC">
        <w:rPr>
          <w:rFonts w:ascii="Arial" w:hAnsi="Arial" w:cs="Arial"/>
          <w:color w:val="000000" w:themeColor="text1"/>
        </w:rPr>
        <w:t>h</w:t>
      </w:r>
      <w:r w:rsidR="6F4794AE" w:rsidRPr="033B7FFC">
        <w:rPr>
          <w:rFonts w:ascii="Arial" w:hAnsi="Arial" w:cs="Arial"/>
          <w:color w:val="000000" w:themeColor="text1"/>
        </w:rPr>
        <w:t>e</w:t>
      </w:r>
      <w:r w:rsidR="1F72D2D5" w:rsidRPr="033B7FFC">
        <w:rPr>
          <w:rFonts w:ascii="Arial" w:hAnsi="Arial" w:cs="Arial"/>
          <w:color w:val="000000" w:themeColor="text1"/>
        </w:rPr>
        <w:t xml:space="preserve"> running costs</w:t>
      </w:r>
      <w:r w:rsidR="323C1754" w:rsidRPr="033B7FFC">
        <w:rPr>
          <w:rFonts w:ascii="Arial" w:hAnsi="Arial" w:cs="Arial"/>
          <w:color w:val="000000" w:themeColor="text1"/>
        </w:rPr>
        <w:t xml:space="preserve"> include </w:t>
      </w:r>
      <w:r w:rsidR="2F8DDC3D" w:rsidRPr="033B7FFC">
        <w:rPr>
          <w:rFonts w:ascii="Arial" w:hAnsi="Arial" w:cs="Arial"/>
          <w:color w:val="000000" w:themeColor="text1"/>
        </w:rPr>
        <w:t xml:space="preserve">utilities, </w:t>
      </w:r>
      <w:r w:rsidR="7108B614" w:rsidRPr="033B7FFC">
        <w:rPr>
          <w:rFonts w:ascii="Arial" w:hAnsi="Arial" w:cs="Arial"/>
          <w:color w:val="000000" w:themeColor="text1"/>
        </w:rPr>
        <w:t xml:space="preserve">insurance, </w:t>
      </w:r>
      <w:r w:rsidR="2F8DDC3D" w:rsidRPr="033B7FFC">
        <w:rPr>
          <w:rFonts w:ascii="Arial" w:hAnsi="Arial" w:cs="Arial"/>
          <w:color w:val="000000" w:themeColor="text1"/>
        </w:rPr>
        <w:t>security and</w:t>
      </w:r>
      <w:r w:rsidR="54E0D007" w:rsidRPr="033B7FFC">
        <w:rPr>
          <w:rFonts w:ascii="Arial" w:hAnsi="Arial" w:cs="Arial"/>
          <w:color w:val="000000" w:themeColor="text1"/>
        </w:rPr>
        <w:t xml:space="preserve"> repair and</w:t>
      </w:r>
      <w:r w:rsidR="2F8DDC3D" w:rsidRPr="033B7FFC">
        <w:rPr>
          <w:rFonts w:ascii="Arial" w:hAnsi="Arial" w:cs="Arial"/>
          <w:color w:val="000000" w:themeColor="text1"/>
        </w:rPr>
        <w:t xml:space="preserve"> maintenance</w:t>
      </w:r>
      <w:r w:rsidR="323C1754" w:rsidRPr="033B7FFC">
        <w:rPr>
          <w:rFonts w:ascii="Arial" w:hAnsi="Arial" w:cs="Arial"/>
          <w:color w:val="000000" w:themeColor="text1"/>
        </w:rPr>
        <w:t xml:space="preserve"> costs</w:t>
      </w:r>
      <w:r w:rsidR="43B1E258" w:rsidRPr="033B7FFC">
        <w:rPr>
          <w:rFonts w:ascii="Arial" w:hAnsi="Arial" w:cs="Arial"/>
          <w:color w:val="000000" w:themeColor="text1"/>
        </w:rPr>
        <w:t>.</w:t>
      </w:r>
      <w:r w:rsidR="6F4794AE" w:rsidRPr="033B7FFC">
        <w:rPr>
          <w:rFonts w:ascii="Arial" w:hAnsi="Arial" w:cs="Arial"/>
          <w:color w:val="000000" w:themeColor="text1"/>
        </w:rPr>
        <w:t xml:space="preserve"> </w:t>
      </w:r>
      <w:r w:rsidR="6453CBEC" w:rsidRPr="033B7FFC">
        <w:rPr>
          <w:rFonts w:ascii="Arial" w:hAnsi="Arial" w:cs="Arial"/>
          <w:color w:val="000000" w:themeColor="text1"/>
        </w:rPr>
        <w:t xml:space="preserve">The building </w:t>
      </w:r>
      <w:proofErr w:type="gramStart"/>
      <w:r w:rsidR="6453CBEC" w:rsidRPr="033B7FFC">
        <w:rPr>
          <w:rFonts w:ascii="Arial" w:hAnsi="Arial" w:cs="Arial"/>
          <w:color w:val="000000" w:themeColor="text1"/>
        </w:rPr>
        <w:t>was occupied</w:t>
      </w:r>
      <w:proofErr w:type="gramEnd"/>
      <w:r w:rsidR="6453CBEC" w:rsidRPr="033B7FFC">
        <w:rPr>
          <w:rFonts w:ascii="Arial" w:hAnsi="Arial" w:cs="Arial"/>
          <w:color w:val="000000" w:themeColor="text1"/>
        </w:rPr>
        <w:t xml:space="preserve"> in FY 19/20</w:t>
      </w:r>
      <w:r w:rsidR="6F36193A" w:rsidRPr="033B7FFC">
        <w:rPr>
          <w:rFonts w:ascii="Arial" w:hAnsi="Arial" w:cs="Arial"/>
          <w:color w:val="000000" w:themeColor="text1"/>
        </w:rPr>
        <w:t>, s</w:t>
      </w:r>
      <w:r w:rsidR="6453CBEC" w:rsidRPr="033B7FFC">
        <w:rPr>
          <w:rFonts w:ascii="Arial" w:hAnsi="Arial" w:cs="Arial"/>
          <w:color w:val="000000" w:themeColor="text1"/>
        </w:rPr>
        <w:t xml:space="preserve">ince then the costs </w:t>
      </w:r>
      <w:r w:rsidR="6F4794AE" w:rsidRPr="033B7FFC">
        <w:rPr>
          <w:rFonts w:ascii="Arial" w:hAnsi="Arial" w:cs="Arial"/>
          <w:color w:val="000000" w:themeColor="text1"/>
        </w:rPr>
        <w:t>are</w:t>
      </w:r>
      <w:r w:rsidR="5E580961" w:rsidRPr="033B7FFC">
        <w:rPr>
          <w:rFonts w:ascii="Arial" w:hAnsi="Arial" w:cs="Arial"/>
          <w:color w:val="000000" w:themeColor="text1"/>
        </w:rPr>
        <w:t xml:space="preserve"> on the basis that the buildings </w:t>
      </w:r>
      <w:r w:rsidR="5E5264FF" w:rsidRPr="033B7FFC">
        <w:rPr>
          <w:rFonts w:ascii="Arial" w:hAnsi="Arial" w:cs="Arial"/>
          <w:color w:val="000000" w:themeColor="text1"/>
        </w:rPr>
        <w:t>ar</w:t>
      </w:r>
      <w:r w:rsidR="5E580961" w:rsidRPr="033B7FFC">
        <w:rPr>
          <w:rFonts w:ascii="Arial" w:hAnsi="Arial" w:cs="Arial"/>
          <w:color w:val="000000" w:themeColor="text1"/>
        </w:rPr>
        <w:t xml:space="preserve">e vacant and mothballed. </w:t>
      </w:r>
    </w:p>
    <w:p w14:paraId="64C1ED2C" w14:textId="3F70D767" w:rsidR="00635C9D" w:rsidRPr="00635C9D" w:rsidRDefault="00635C9D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66A51E3" w14:textId="09CB2264" w:rsidR="00635C9D" w:rsidRDefault="5E580961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33B7FFC">
        <w:rPr>
          <w:rFonts w:ascii="Arial" w:hAnsi="Arial" w:cs="Arial"/>
          <w:color w:val="000000" w:themeColor="text1"/>
        </w:rPr>
        <w:t>Future running costs will vary and be dependent on the level of occupancy, future use of the buildings and the increase in energy costs.</w:t>
      </w:r>
    </w:p>
    <w:p w14:paraId="5AC28A4E" w14:textId="77777777" w:rsidR="00381C5A" w:rsidRDefault="00381C5A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C19DE26" w14:textId="6F768D28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>Can the EOI</w:t>
      </w:r>
      <w:r>
        <w:rPr>
          <w:rFonts w:ascii="Arial" w:hAnsi="Arial" w:cs="Arial"/>
          <w:b/>
          <w:bCs/>
          <w:color w:val="000000" w:themeColor="text1"/>
        </w:rPr>
        <w:t xml:space="preserve"> (Expression of Interest)</w:t>
      </w:r>
      <w:r w:rsidRPr="00381C5A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381C5A">
        <w:rPr>
          <w:rFonts w:ascii="Arial" w:hAnsi="Arial" w:cs="Arial"/>
          <w:b/>
          <w:bCs/>
          <w:color w:val="000000" w:themeColor="text1"/>
        </w:rPr>
        <w:t>be expressed</w:t>
      </w:r>
      <w:proofErr w:type="gramEnd"/>
      <w:r w:rsidRPr="00381C5A">
        <w:rPr>
          <w:rFonts w:ascii="Arial" w:hAnsi="Arial" w:cs="Arial"/>
          <w:b/>
          <w:bCs/>
          <w:color w:val="000000" w:themeColor="text1"/>
        </w:rPr>
        <w:t xml:space="preserve"> for </w:t>
      </w:r>
      <w:r>
        <w:rPr>
          <w:rFonts w:ascii="Arial" w:hAnsi="Arial" w:cs="Arial"/>
          <w:b/>
          <w:bCs/>
          <w:color w:val="000000" w:themeColor="text1"/>
        </w:rPr>
        <w:t xml:space="preserve">one building </w:t>
      </w:r>
      <w:r w:rsidRPr="00381C5A">
        <w:rPr>
          <w:rFonts w:ascii="Arial" w:hAnsi="Arial" w:cs="Arial"/>
          <w:b/>
          <w:bCs/>
          <w:color w:val="000000" w:themeColor="text1"/>
        </w:rPr>
        <w:t>only or does it need to include the wider greenspace to the south?</w:t>
      </w:r>
    </w:p>
    <w:p w14:paraId="276C286E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The Council’s preference is to dispose of the whole area within the red line, however EOI can be </w:t>
      </w:r>
      <w:proofErr w:type="gramStart"/>
      <w:r w:rsidRPr="00381C5A">
        <w:rPr>
          <w:rFonts w:ascii="Arial" w:hAnsi="Arial" w:cs="Arial"/>
          <w:color w:val="000000" w:themeColor="text1"/>
        </w:rPr>
        <w:t>submitted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for parts of the site only.  Proposals will need to justify the site area </w:t>
      </w:r>
      <w:proofErr w:type="gramStart"/>
      <w:r w:rsidRPr="00381C5A">
        <w:rPr>
          <w:rFonts w:ascii="Arial" w:hAnsi="Arial" w:cs="Arial"/>
          <w:color w:val="000000" w:themeColor="text1"/>
        </w:rPr>
        <w:t>required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and indicate how the remainder of the site could be managed separately.</w:t>
      </w:r>
    </w:p>
    <w:p w14:paraId="7B57C884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1B477DF" w14:textId="5C0843A9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1C5A">
        <w:rPr>
          <w:rFonts w:ascii="Arial" w:hAnsi="Arial" w:cs="Arial"/>
          <w:b/>
          <w:bCs/>
        </w:rPr>
        <w:t>Are there any TPO’s</w:t>
      </w:r>
      <w:r>
        <w:rPr>
          <w:rFonts w:ascii="Arial" w:hAnsi="Arial" w:cs="Arial"/>
          <w:b/>
          <w:bCs/>
        </w:rPr>
        <w:t xml:space="preserve"> (Tree protection Order)</w:t>
      </w:r>
      <w:r w:rsidRPr="00381C5A">
        <w:rPr>
          <w:rFonts w:ascii="Arial" w:hAnsi="Arial" w:cs="Arial"/>
          <w:b/>
          <w:bCs/>
        </w:rPr>
        <w:t xml:space="preserve"> within the redline?</w:t>
      </w:r>
    </w:p>
    <w:p w14:paraId="33679309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The area is not subject to TPO’s, however consultation with the </w:t>
      </w:r>
      <w:proofErr w:type="spellStart"/>
      <w:r w:rsidRPr="00381C5A">
        <w:rPr>
          <w:rFonts w:ascii="Arial" w:hAnsi="Arial" w:cs="Arial"/>
          <w:color w:val="000000" w:themeColor="text1"/>
        </w:rPr>
        <w:t>Arboricultural</w:t>
      </w:r>
      <w:proofErr w:type="spellEnd"/>
      <w:r w:rsidRPr="00381C5A">
        <w:rPr>
          <w:rFonts w:ascii="Arial" w:hAnsi="Arial" w:cs="Arial"/>
          <w:color w:val="000000" w:themeColor="text1"/>
        </w:rPr>
        <w:t xml:space="preserve"> officer and those that manage EHDC trees will be critical.</w:t>
      </w:r>
    </w:p>
    <w:p w14:paraId="27807ED6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78EA4EC" w14:textId="44188030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>What are the access rights/arrangements for the houses behind the eco-station?</w:t>
      </w:r>
    </w:p>
    <w:p w14:paraId="0659A8A9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The properties access the site from Camp Road and there are 4 </w:t>
      </w:r>
      <w:proofErr w:type="gramStart"/>
      <w:r w:rsidRPr="00381C5A">
        <w:rPr>
          <w:rFonts w:ascii="Arial" w:hAnsi="Arial" w:cs="Arial"/>
          <w:color w:val="000000" w:themeColor="text1"/>
        </w:rPr>
        <w:t>allocated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car parking spaces on the site, adjacent to the Eco Station.  The rights must be </w:t>
      </w:r>
      <w:proofErr w:type="gramStart"/>
      <w:r w:rsidRPr="00381C5A">
        <w:rPr>
          <w:rFonts w:ascii="Arial" w:hAnsi="Arial" w:cs="Arial"/>
          <w:color w:val="000000" w:themeColor="text1"/>
        </w:rPr>
        <w:t>retained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but can be altered by the site owner if required. The access and spaces can be </w:t>
      </w:r>
      <w:proofErr w:type="gramStart"/>
      <w:r w:rsidRPr="00381C5A">
        <w:rPr>
          <w:rFonts w:ascii="Arial" w:hAnsi="Arial" w:cs="Arial"/>
          <w:color w:val="000000" w:themeColor="text1"/>
        </w:rPr>
        <w:t>indicated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at the site visit.    </w:t>
      </w:r>
    </w:p>
    <w:p w14:paraId="38A81457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321293F" w14:textId="388BDEFF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 xml:space="preserve">Can the </w:t>
      </w:r>
      <w:proofErr w:type="spellStart"/>
      <w:r w:rsidRPr="00381C5A">
        <w:rPr>
          <w:rFonts w:ascii="Arial" w:hAnsi="Arial" w:cs="Arial"/>
          <w:b/>
          <w:bCs/>
          <w:color w:val="000000" w:themeColor="text1"/>
        </w:rPr>
        <w:t>bellmouth</w:t>
      </w:r>
      <w:proofErr w:type="spellEnd"/>
      <w:r w:rsidRPr="00381C5A">
        <w:rPr>
          <w:rFonts w:ascii="Arial" w:hAnsi="Arial" w:cs="Arial"/>
          <w:b/>
          <w:bCs/>
          <w:color w:val="000000" w:themeColor="text1"/>
        </w:rPr>
        <w:t xml:space="preserve"> from Camp Road </w:t>
      </w:r>
      <w:proofErr w:type="gramStart"/>
      <w:r w:rsidRPr="00381C5A">
        <w:rPr>
          <w:rFonts w:ascii="Arial" w:hAnsi="Arial" w:cs="Arial"/>
          <w:b/>
          <w:bCs/>
          <w:color w:val="000000" w:themeColor="text1"/>
        </w:rPr>
        <w:t>be moved</w:t>
      </w:r>
      <w:proofErr w:type="gramEnd"/>
      <w:r w:rsidRPr="00381C5A">
        <w:rPr>
          <w:rFonts w:ascii="Arial" w:hAnsi="Arial" w:cs="Arial"/>
          <w:b/>
          <w:bCs/>
          <w:color w:val="000000" w:themeColor="text1"/>
        </w:rPr>
        <w:t>?</w:t>
      </w:r>
    </w:p>
    <w:p w14:paraId="4A380EFB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This would be subject to the requisite statutory consenting process.  As above, continuing access for the properties behind Eco Station must be </w:t>
      </w:r>
      <w:proofErr w:type="gramStart"/>
      <w:r w:rsidRPr="00381C5A">
        <w:rPr>
          <w:rFonts w:ascii="Arial" w:hAnsi="Arial" w:cs="Arial"/>
          <w:color w:val="000000" w:themeColor="text1"/>
        </w:rPr>
        <w:t>maintained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.   </w:t>
      </w:r>
    </w:p>
    <w:p w14:paraId="63A39CC1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6C195B2" w14:textId="5C54C1A1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 xml:space="preserve">Can access on to Station Road </w:t>
      </w:r>
      <w:proofErr w:type="gramStart"/>
      <w:r w:rsidRPr="00381C5A">
        <w:rPr>
          <w:rFonts w:ascii="Arial" w:hAnsi="Arial" w:cs="Arial"/>
          <w:b/>
          <w:bCs/>
          <w:color w:val="000000" w:themeColor="text1"/>
        </w:rPr>
        <w:t>be considered</w:t>
      </w:r>
      <w:proofErr w:type="gramEnd"/>
      <w:r w:rsidRPr="00381C5A">
        <w:rPr>
          <w:rFonts w:ascii="Arial" w:hAnsi="Arial" w:cs="Arial"/>
          <w:b/>
          <w:bCs/>
          <w:color w:val="000000" w:themeColor="text1"/>
        </w:rPr>
        <w:t>?</w:t>
      </w:r>
    </w:p>
    <w:p w14:paraId="1B9891A0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It </w:t>
      </w:r>
      <w:proofErr w:type="gramStart"/>
      <w:r w:rsidRPr="00381C5A">
        <w:rPr>
          <w:rFonts w:ascii="Arial" w:hAnsi="Arial" w:cs="Arial"/>
          <w:color w:val="000000" w:themeColor="text1"/>
        </w:rPr>
        <w:t>is understood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that the Highway Authority are unlikely to consider access onto Station Road due to the proximity of the junction / traffic lights.  </w:t>
      </w:r>
    </w:p>
    <w:p w14:paraId="4717774C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A488615" w14:textId="2D85DD82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 xml:space="preserve">What are the rules/restrictions around the memorial in the southern area? </w:t>
      </w:r>
    </w:p>
    <w:p w14:paraId="7B4CCDE9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The memorial </w:t>
      </w:r>
      <w:proofErr w:type="gramStart"/>
      <w:r w:rsidRPr="00381C5A">
        <w:rPr>
          <w:rFonts w:ascii="Arial" w:hAnsi="Arial" w:cs="Arial"/>
          <w:color w:val="000000" w:themeColor="text1"/>
        </w:rPr>
        <w:t>is leased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to Whitehill Town Council.  It is not proposed to move the war memorial in this exercise, only the </w:t>
      </w:r>
      <w:proofErr w:type="gramStart"/>
      <w:r w:rsidRPr="00381C5A">
        <w:rPr>
          <w:rFonts w:ascii="Arial" w:hAnsi="Arial" w:cs="Arial"/>
          <w:color w:val="000000" w:themeColor="text1"/>
        </w:rPr>
        <w:t>longer term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management of the land on which it sits.  The Town Council and other stakeholders will need to </w:t>
      </w:r>
      <w:proofErr w:type="gramStart"/>
      <w:r w:rsidRPr="00381C5A">
        <w:rPr>
          <w:rFonts w:ascii="Arial" w:hAnsi="Arial" w:cs="Arial"/>
          <w:color w:val="000000" w:themeColor="text1"/>
        </w:rPr>
        <w:t>be consulted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on the war memorial. </w:t>
      </w:r>
    </w:p>
    <w:p w14:paraId="4C844E44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 </w:t>
      </w:r>
    </w:p>
    <w:p w14:paraId="0ABB72D4" w14:textId="4F1FA0BC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 xml:space="preserve">Has any consideration </w:t>
      </w:r>
      <w:proofErr w:type="gramStart"/>
      <w:r w:rsidRPr="00381C5A">
        <w:rPr>
          <w:rFonts w:ascii="Arial" w:hAnsi="Arial" w:cs="Arial"/>
          <w:b/>
          <w:bCs/>
          <w:color w:val="000000" w:themeColor="text1"/>
        </w:rPr>
        <w:t>been given</w:t>
      </w:r>
      <w:proofErr w:type="gramEnd"/>
      <w:r w:rsidRPr="00381C5A">
        <w:rPr>
          <w:rFonts w:ascii="Arial" w:hAnsi="Arial" w:cs="Arial"/>
          <w:b/>
          <w:bCs/>
          <w:color w:val="000000" w:themeColor="text1"/>
        </w:rPr>
        <w:t xml:space="preserve"> to the demolition of the Eco-station?</w:t>
      </w:r>
    </w:p>
    <w:p w14:paraId="5430E69D" w14:textId="1EDA7443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No consideration has </w:t>
      </w:r>
      <w:proofErr w:type="gramStart"/>
      <w:r w:rsidRPr="00381C5A">
        <w:rPr>
          <w:rFonts w:ascii="Arial" w:hAnsi="Arial" w:cs="Arial"/>
          <w:color w:val="000000" w:themeColor="text1"/>
        </w:rPr>
        <w:t>been given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to the demolition of the building at this stage.  The LPA’s </w:t>
      </w:r>
      <w:r>
        <w:rPr>
          <w:rFonts w:ascii="Arial" w:hAnsi="Arial" w:cs="Arial"/>
          <w:color w:val="000000" w:themeColor="text1"/>
        </w:rPr>
        <w:t xml:space="preserve">(Local Planning Authority) </w:t>
      </w:r>
      <w:r w:rsidRPr="00381C5A">
        <w:rPr>
          <w:rFonts w:ascii="Arial" w:hAnsi="Arial" w:cs="Arial"/>
          <w:color w:val="000000" w:themeColor="text1"/>
        </w:rPr>
        <w:t xml:space="preserve">preference is that the building is </w:t>
      </w:r>
      <w:proofErr w:type="gramStart"/>
      <w:r w:rsidRPr="00381C5A">
        <w:rPr>
          <w:rFonts w:ascii="Arial" w:hAnsi="Arial" w:cs="Arial"/>
          <w:color w:val="000000" w:themeColor="text1"/>
        </w:rPr>
        <w:t>retained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as it has heritage conservation merit.  The EOI exercise is being undertaken to assess whether there is </w:t>
      </w:r>
      <w:proofErr w:type="gramStart"/>
      <w:r w:rsidRPr="00381C5A">
        <w:rPr>
          <w:rFonts w:ascii="Arial" w:hAnsi="Arial" w:cs="Arial"/>
          <w:color w:val="000000" w:themeColor="text1"/>
        </w:rPr>
        <w:t>a viable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future use for this building and surrounding site.  </w:t>
      </w:r>
    </w:p>
    <w:p w14:paraId="730BE654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A9027CB" w14:textId="1A366520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>What are the current parking standards in place for the Eco-station and homes?</w:t>
      </w:r>
    </w:p>
    <w:p w14:paraId="77535336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>This is set out in a Vehicle parking standards SPD: Supplementary planning documents | East Hampshire District Council (easthants.gov.uk)</w:t>
      </w:r>
    </w:p>
    <w:p w14:paraId="52AC2EDC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28E8BA9" w14:textId="6C544DED" w:rsidR="00381C5A" w:rsidRPr="00381C5A" w:rsidRDefault="00381C5A" w:rsidP="0038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81C5A">
        <w:rPr>
          <w:rFonts w:ascii="Arial" w:hAnsi="Arial" w:cs="Arial"/>
          <w:b/>
          <w:bCs/>
          <w:color w:val="000000" w:themeColor="text1"/>
        </w:rPr>
        <w:tab/>
        <w:t>Is there any asbestos in the Eco-station or bank building?</w:t>
      </w:r>
    </w:p>
    <w:p w14:paraId="21908ECA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Surveys are included on the website </w:t>
      </w:r>
      <w:proofErr w:type="gramStart"/>
      <w:r w:rsidRPr="00381C5A">
        <w:rPr>
          <w:rFonts w:ascii="Arial" w:hAnsi="Arial" w:cs="Arial"/>
          <w:color w:val="000000" w:themeColor="text1"/>
        </w:rPr>
        <w:t>http://whitehillbordon.com/businesses/northern-gateway/</w:t>
      </w:r>
      <w:proofErr w:type="gramEnd"/>
    </w:p>
    <w:p w14:paraId="41C29E4B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23F84F3" w14:textId="5A902F62" w:rsidR="00381C5A" w:rsidRPr="00117866" w:rsidRDefault="00117866" w:rsidP="001178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381C5A" w:rsidRPr="00117866">
        <w:rPr>
          <w:rFonts w:ascii="Arial" w:hAnsi="Arial" w:cs="Arial"/>
          <w:b/>
          <w:bCs/>
          <w:color w:val="000000" w:themeColor="text1"/>
        </w:rPr>
        <w:t>Is the Eco-station or bank building home to bats?</w:t>
      </w:r>
    </w:p>
    <w:p w14:paraId="39DC5916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No bat surveys have been carried out as the EOI exercise is just to </w:t>
      </w:r>
      <w:proofErr w:type="gramStart"/>
      <w:r w:rsidRPr="00381C5A">
        <w:rPr>
          <w:rFonts w:ascii="Arial" w:hAnsi="Arial" w:cs="Arial"/>
          <w:color w:val="000000" w:themeColor="text1"/>
        </w:rPr>
        <w:t>ascertain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the nature of interest in the site.</w:t>
      </w:r>
    </w:p>
    <w:p w14:paraId="55526FAA" w14:textId="77777777" w:rsidR="00381C5A" w:rsidRP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692C252" w14:textId="74763C51" w:rsidR="00381C5A" w:rsidRPr="00117866" w:rsidRDefault="00381C5A" w:rsidP="001178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117866">
        <w:rPr>
          <w:rFonts w:ascii="Arial" w:hAnsi="Arial" w:cs="Arial"/>
          <w:b/>
          <w:bCs/>
          <w:color w:val="000000" w:themeColor="text1"/>
        </w:rPr>
        <w:t>Is the Eco-station connected to the MoD power and water network?</w:t>
      </w:r>
    </w:p>
    <w:p w14:paraId="57359D67" w14:textId="77777777" w:rsidR="00381C5A" w:rsidRDefault="00381C5A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C5A">
        <w:rPr>
          <w:rFonts w:ascii="Arial" w:hAnsi="Arial" w:cs="Arial"/>
          <w:color w:val="000000" w:themeColor="text1"/>
        </w:rPr>
        <w:t xml:space="preserve">We believe the property </w:t>
      </w:r>
      <w:proofErr w:type="gramStart"/>
      <w:r w:rsidRPr="00381C5A">
        <w:rPr>
          <w:rFonts w:ascii="Arial" w:hAnsi="Arial" w:cs="Arial"/>
          <w:color w:val="000000" w:themeColor="text1"/>
        </w:rPr>
        <w:t>is served</w:t>
      </w:r>
      <w:proofErr w:type="gramEnd"/>
      <w:r w:rsidRPr="00381C5A">
        <w:rPr>
          <w:rFonts w:ascii="Arial" w:hAnsi="Arial" w:cs="Arial"/>
          <w:color w:val="000000" w:themeColor="text1"/>
        </w:rPr>
        <w:t xml:space="preserve"> on civilian utility supplies.  </w:t>
      </w:r>
    </w:p>
    <w:p w14:paraId="52F6B483" w14:textId="77777777" w:rsidR="00117866" w:rsidRDefault="00117866" w:rsidP="00381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9DA7B1B" w14:textId="1E0009B5" w:rsidR="00117866" w:rsidRDefault="00117866" w:rsidP="001178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117866">
        <w:rPr>
          <w:rFonts w:ascii="Arial" w:hAnsi="Arial" w:cs="Arial"/>
          <w:b/>
          <w:bCs/>
          <w:color w:val="000000" w:themeColor="text1"/>
        </w:rPr>
        <w:t>What is the floor space area of the Eco Station?</w:t>
      </w:r>
    </w:p>
    <w:p w14:paraId="2B55E3B5" w14:textId="23EEFE34" w:rsidR="00117866" w:rsidRDefault="00117866" w:rsidP="0011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17866">
        <w:rPr>
          <w:rFonts w:ascii="Arial" w:hAnsi="Arial" w:cs="Arial"/>
          <w:color w:val="000000" w:themeColor="text1"/>
        </w:rPr>
        <w:t xml:space="preserve">According to the Valuation office rating figures the building’s current NIA is 677sqm.  In addition </w:t>
      </w:r>
      <w:r>
        <w:rPr>
          <w:rFonts w:ascii="Arial" w:hAnsi="Arial" w:cs="Arial"/>
          <w:color w:val="000000" w:themeColor="text1"/>
        </w:rPr>
        <w:t>Please refer</w:t>
      </w:r>
      <w:r w:rsidRPr="00117866">
        <w:rPr>
          <w:rFonts w:ascii="Arial" w:hAnsi="Arial" w:cs="Arial"/>
          <w:color w:val="000000" w:themeColor="text1"/>
        </w:rPr>
        <w:t xml:space="preserve"> to the floorplans on the website</w:t>
      </w:r>
      <w:r>
        <w:rPr>
          <w:rFonts w:ascii="Arial" w:hAnsi="Arial" w:cs="Arial"/>
          <w:color w:val="000000" w:themeColor="text1"/>
        </w:rPr>
        <w:t xml:space="preserve">; </w:t>
      </w:r>
      <w:hyperlink r:id="rId8" w:history="1">
        <w:r w:rsidRPr="00E279F4">
          <w:rPr>
            <w:rStyle w:val="Hyperlink"/>
            <w:rFonts w:ascii="Arial" w:hAnsi="Arial" w:cs="Arial"/>
          </w:rPr>
          <w:t>http://whitehillbordon.com/businesses/northern-gateway/</w:t>
        </w:r>
      </w:hyperlink>
    </w:p>
    <w:p w14:paraId="7498B187" w14:textId="51A762E4"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Pr="00117866">
        <w:rPr>
          <w:rFonts w:ascii="Arial" w:hAnsi="Arial" w:cs="Arial"/>
          <w:color w:val="000000" w:themeColor="text1"/>
        </w:rPr>
        <w:t>he area is can be measured up from the plan.</w:t>
      </w:r>
    </w:p>
    <w:p w14:paraId="6F4B1554" w14:textId="77777777" w:rsidR="00381C5A" w:rsidRPr="00635C9D" w:rsidRDefault="00381C5A" w:rsidP="033B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32873E4" w14:textId="38B04068" w:rsidR="033B7FFC" w:rsidRDefault="033B7FFC" w:rsidP="033B7FFC">
      <w:pPr>
        <w:rPr>
          <w:rFonts w:ascii="Arial" w:hAnsi="Arial" w:cs="Arial"/>
        </w:rPr>
      </w:pPr>
    </w:p>
    <w:sectPr w:rsidR="033B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18A"/>
    <w:multiLevelType w:val="hybridMultilevel"/>
    <w:tmpl w:val="128284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AD43"/>
    <w:multiLevelType w:val="hybridMultilevel"/>
    <w:tmpl w:val="3D94B5D0"/>
    <w:lvl w:ilvl="0" w:tplc="617AE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E23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28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4C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1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6A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1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E2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13B44"/>
    <w:multiLevelType w:val="hybridMultilevel"/>
    <w:tmpl w:val="DF7EA01E"/>
    <w:lvl w:ilvl="0" w:tplc="26C22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CA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CC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6B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CA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87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4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83554">
    <w:abstractNumId w:val="1"/>
  </w:num>
  <w:num w:numId="2" w16cid:durableId="457839998">
    <w:abstractNumId w:val="2"/>
  </w:num>
  <w:num w:numId="3" w16cid:durableId="6422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9D"/>
    <w:rsid w:val="00117866"/>
    <w:rsid w:val="00381C5A"/>
    <w:rsid w:val="00635C9D"/>
    <w:rsid w:val="00643F63"/>
    <w:rsid w:val="00D22A10"/>
    <w:rsid w:val="02772BFD"/>
    <w:rsid w:val="033B7FFC"/>
    <w:rsid w:val="083BC113"/>
    <w:rsid w:val="09724AA3"/>
    <w:rsid w:val="097CB4D9"/>
    <w:rsid w:val="0C1CB9F9"/>
    <w:rsid w:val="0DE4D056"/>
    <w:rsid w:val="113BDEB1"/>
    <w:rsid w:val="12B84179"/>
    <w:rsid w:val="143AE97D"/>
    <w:rsid w:val="14AD308A"/>
    <w:rsid w:val="14F2C35F"/>
    <w:rsid w:val="16C76F97"/>
    <w:rsid w:val="172A4FC2"/>
    <w:rsid w:val="1EEEB713"/>
    <w:rsid w:val="1F72D2D5"/>
    <w:rsid w:val="213E7D7C"/>
    <w:rsid w:val="22B39ECF"/>
    <w:rsid w:val="2544D03A"/>
    <w:rsid w:val="26B2A6FA"/>
    <w:rsid w:val="2AC83C51"/>
    <w:rsid w:val="2B729F75"/>
    <w:rsid w:val="2E1BCB89"/>
    <w:rsid w:val="2F8DDC3D"/>
    <w:rsid w:val="323C1754"/>
    <w:rsid w:val="3431153A"/>
    <w:rsid w:val="3702ACFF"/>
    <w:rsid w:val="3774FCFE"/>
    <w:rsid w:val="3905D7F2"/>
    <w:rsid w:val="3907BAFD"/>
    <w:rsid w:val="3E874B13"/>
    <w:rsid w:val="3F114C38"/>
    <w:rsid w:val="41B67A95"/>
    <w:rsid w:val="43B1E258"/>
    <w:rsid w:val="48977DB9"/>
    <w:rsid w:val="4965983D"/>
    <w:rsid w:val="4CC2E16E"/>
    <w:rsid w:val="4D8F8E9C"/>
    <w:rsid w:val="4E5EB1CF"/>
    <w:rsid w:val="51DCFD25"/>
    <w:rsid w:val="54E0D007"/>
    <w:rsid w:val="57D94E19"/>
    <w:rsid w:val="5CED106D"/>
    <w:rsid w:val="5E5264FF"/>
    <w:rsid w:val="5E580961"/>
    <w:rsid w:val="616FA121"/>
    <w:rsid w:val="6237B675"/>
    <w:rsid w:val="6453CBEC"/>
    <w:rsid w:val="67A12CA8"/>
    <w:rsid w:val="6A736BCE"/>
    <w:rsid w:val="6CEC65CB"/>
    <w:rsid w:val="6D625ED3"/>
    <w:rsid w:val="6DAB0C90"/>
    <w:rsid w:val="6DE59EEB"/>
    <w:rsid w:val="6F36193A"/>
    <w:rsid w:val="6F4794AE"/>
    <w:rsid w:val="7070BB3A"/>
    <w:rsid w:val="7108B614"/>
    <w:rsid w:val="718AE3B4"/>
    <w:rsid w:val="723DA9DB"/>
    <w:rsid w:val="78C707E6"/>
    <w:rsid w:val="7A62D847"/>
    <w:rsid w:val="7D38E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193A"/>
  <w15:chartTrackingRefBased/>
  <w15:docId w15:val="{1FA2BA29-FD45-43E0-8536-CECD03F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6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tehillbordon.com/businesses/northern-gatewa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E781326BE1438344F2C72DDA66E7" ma:contentTypeVersion="14" ma:contentTypeDescription="Create a new document." ma:contentTypeScope="" ma:versionID="6e0f89788a1f19b8d9b026b53bf93119">
  <xsd:schema xmlns:xsd="http://www.w3.org/2001/XMLSchema" xmlns:xs="http://www.w3.org/2001/XMLSchema" xmlns:p="http://schemas.microsoft.com/office/2006/metadata/properties" xmlns:ns2="bc51a89f-e393-4dce-b85c-a3dd936a7470" xmlns:ns3="82d980d3-0764-4d09-8dc8-a8139b93a102" targetNamespace="http://schemas.microsoft.com/office/2006/metadata/properties" ma:root="true" ma:fieldsID="95fa64f0cde20e02c4f4c18918ddf760" ns2:_="" ns3:_="">
    <xsd:import namespace="bc51a89f-e393-4dce-b85c-a3dd936a7470"/>
    <xsd:import namespace="82d980d3-0764-4d09-8dc8-a8139b93a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1a89f-e393-4dce-b85c-a3dd936a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c1bc3-3a0a-4484-b3b0-66ae71592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80d3-0764-4d09-8dc8-a8139b93a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e0b2a7-5888-4bb6-9671-481326a0aee6}" ma:internalName="TaxCatchAll" ma:showField="CatchAllData" ma:web="82d980d3-0764-4d09-8dc8-a8139b93a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980d3-0764-4d09-8dc8-a8139b93a102" xsi:nil="true"/>
    <lcf76f155ced4ddcb4097134ff3c332f xmlns="bc51a89f-e393-4dce-b85c-a3dd936a74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0C9C1C-3983-4841-857B-D30DC8FF0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DDF95-B082-41CB-BE5E-7B5A5FB6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1a89f-e393-4dce-b85c-a3dd936a7470"/>
    <ds:schemaRef ds:uri="82d980d3-0764-4d09-8dc8-a8139b93a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5F093-4F50-4020-BEE6-7E98D722CF5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82d980d3-0764-4d09-8dc8-a8139b93a102"/>
    <ds:schemaRef ds:uri="http://www.w3.org/XML/1998/namespace"/>
    <ds:schemaRef ds:uri="bc51a89f-e393-4dce-b85c-a3dd936a747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Emma</dc:creator>
  <cp:keywords/>
  <dc:description/>
  <cp:lastModifiedBy>Bellis, Sarah-Jane</cp:lastModifiedBy>
  <cp:revision>2</cp:revision>
  <dcterms:created xsi:type="dcterms:W3CDTF">2024-03-06T12:00:00Z</dcterms:created>
  <dcterms:modified xsi:type="dcterms:W3CDTF">2024-03-06T12:00:00Z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0x0101003320E781326BE1438344F2C72DDA66E7</vt:lpwstr>
  </property>
</Properties>
</file>